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2F3B0" w14:textId="460A071E" w:rsidR="004B7DF8" w:rsidRDefault="004B7DF8" w:rsidP="004B7DF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130626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9A60DD">
        <w:rPr>
          <w:rFonts w:ascii="Arial" w:hAnsi="Arial" w:cs="Arial"/>
          <w:b/>
          <w:bCs/>
        </w:rPr>
        <w:t>8456</w:t>
      </w:r>
    </w:p>
    <w:p w14:paraId="0CBB7371" w14:textId="7E7F047F" w:rsidR="004B7DF8" w:rsidRPr="00210D4C" w:rsidRDefault="004B7DF8" w:rsidP="004B7DF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130626">
        <w:rPr>
          <w:rFonts w:ascii="Arial" w:eastAsia="MS Mincho" w:hAnsi="Arial" w:cs="Arial"/>
          <w:b/>
          <w:bCs/>
          <w:lang w:eastAsia="ja-JP"/>
        </w:rPr>
        <w:t>October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130626">
        <w:rPr>
          <w:rFonts w:ascii="Arial" w:eastAsia="MS Mincho" w:hAnsi="Arial" w:cs="Arial"/>
          <w:b/>
          <w:bCs/>
          <w:lang w:eastAsia="ja-JP"/>
        </w:rPr>
        <w:t>26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130626">
        <w:rPr>
          <w:rFonts w:ascii="Arial" w:eastAsia="MS Mincho" w:hAnsi="Arial" w:cs="Arial"/>
          <w:b/>
          <w:bCs/>
          <w:lang w:eastAsia="ja-JP"/>
        </w:rPr>
        <w:t>November 13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701F0AAC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59035F">
        <w:t>.</w:t>
      </w:r>
      <w:r w:rsidR="005C0680">
        <w:t>15.</w:t>
      </w:r>
      <w:r w:rsidR="00D90E04">
        <w:t>2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7D83FE7C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D90E04">
        <w:t xml:space="preserve">Potential Enhancement for </w:t>
      </w:r>
      <w:r w:rsidR="005C0680">
        <w:t>NB-IoT/</w:t>
      </w:r>
      <w:proofErr w:type="spellStart"/>
      <w:r w:rsidR="005C0680">
        <w:t>eMTC</w:t>
      </w:r>
      <w:proofErr w:type="spellEnd"/>
      <w:r w:rsidR="005C0680">
        <w:t xml:space="preserve"> over Satellite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0E4FA85" w14:textId="14A5AD90" w:rsidR="00395FA6" w:rsidRDefault="005C0680" w:rsidP="0099637F">
      <w:pPr>
        <w:jc w:val="both"/>
      </w:pPr>
      <w:r>
        <w:t>The study item d</w:t>
      </w:r>
      <w:r w:rsidR="00395FA6">
        <w:t>escription</w:t>
      </w:r>
      <w:r>
        <w:t xml:space="preserve"> of NB-IoT/</w:t>
      </w:r>
      <w:proofErr w:type="spellStart"/>
      <w:r>
        <w:t>eMTC</w:t>
      </w:r>
      <w:proofErr w:type="spellEnd"/>
      <w:r>
        <w:t xml:space="preserve"> support for NTN was provided in</w:t>
      </w:r>
      <w:r w:rsidR="00395FA6">
        <w:t xml:space="preserve"> </w:t>
      </w:r>
      <w:r w:rsidR="00395FA6">
        <w:fldChar w:fldCharType="begin"/>
      </w:r>
      <w:r w:rsidR="00395FA6">
        <w:instrText xml:space="preserve"> REF _Ref46861923 \r \h </w:instrText>
      </w:r>
      <w:r w:rsidR="00395FA6">
        <w:fldChar w:fldCharType="separate"/>
      </w:r>
      <w:r w:rsidR="00395FA6">
        <w:t>[1]</w:t>
      </w:r>
      <w:r w:rsidR="00395FA6">
        <w:fldChar w:fldCharType="end"/>
      </w:r>
      <w:r>
        <w:t xml:space="preserve">. </w:t>
      </w:r>
      <w:r w:rsidR="008E1227">
        <w:t xml:space="preserve">One </w:t>
      </w:r>
      <w:r>
        <w:t>objective of this study</w:t>
      </w:r>
      <w:r w:rsidR="00E07893">
        <w:t xml:space="preserve"> item</w:t>
      </w:r>
      <w:r>
        <w:t xml:space="preserve"> is to </w:t>
      </w:r>
      <w:r w:rsidR="008E1227">
        <w:t xml:space="preserve">study and recommend necessary changes to support </w:t>
      </w:r>
      <w:r>
        <w:t>NB-IoT/</w:t>
      </w:r>
      <w:proofErr w:type="spellStart"/>
      <w:r>
        <w:t>eMTC</w:t>
      </w:r>
      <w:proofErr w:type="spellEnd"/>
      <w:r w:rsidR="008E1227">
        <w:t xml:space="preserve"> over satellite, where the conclusions in </w:t>
      </w:r>
      <w:r w:rsidR="008E1227">
        <w:fldChar w:fldCharType="begin"/>
      </w:r>
      <w:r w:rsidR="008E1227">
        <w:instrText xml:space="preserve"> REF _Ref53646739 \r \h </w:instrText>
      </w:r>
      <w:r w:rsidR="008E1227">
        <w:fldChar w:fldCharType="separate"/>
      </w:r>
      <w:r w:rsidR="008E1227">
        <w:t>[2]</w:t>
      </w:r>
      <w:r w:rsidR="008E1227">
        <w:fldChar w:fldCharType="end"/>
      </w:r>
      <w:r w:rsidR="008E1227">
        <w:t xml:space="preserve"> should be reused as much as possible. </w:t>
      </w:r>
    </w:p>
    <w:p w14:paraId="30672A21" w14:textId="77777777" w:rsidR="00EC0D2F" w:rsidRPr="00E75532" w:rsidRDefault="00EC0D2F" w:rsidP="00416D56">
      <w:pPr>
        <w:jc w:val="both"/>
        <w:rPr>
          <w:szCs w:val="20"/>
        </w:rPr>
      </w:pPr>
    </w:p>
    <w:p w14:paraId="05E5CF06" w14:textId="0C6EF7EF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>provide our views on</w:t>
      </w:r>
      <w:r w:rsidR="0099637F">
        <w:rPr>
          <w:szCs w:val="20"/>
        </w:rPr>
        <w:t xml:space="preserve"> </w:t>
      </w:r>
      <w:r w:rsidR="004544A0">
        <w:rPr>
          <w:szCs w:val="20"/>
        </w:rPr>
        <w:t xml:space="preserve">the </w:t>
      </w:r>
      <w:r w:rsidR="008E1227">
        <w:rPr>
          <w:szCs w:val="20"/>
        </w:rPr>
        <w:t>potential enhancement</w:t>
      </w:r>
      <w:r w:rsidR="005C0680">
        <w:rPr>
          <w:szCs w:val="20"/>
        </w:rPr>
        <w:t xml:space="preserve"> for NB-IoT/</w:t>
      </w:r>
      <w:proofErr w:type="spellStart"/>
      <w:r w:rsidR="005C0680">
        <w:rPr>
          <w:szCs w:val="20"/>
        </w:rPr>
        <w:t>eMTC</w:t>
      </w:r>
      <w:proofErr w:type="spellEnd"/>
      <w:r w:rsidR="005C0680">
        <w:rPr>
          <w:szCs w:val="20"/>
        </w:rPr>
        <w:t xml:space="preserve"> over satellite</w:t>
      </w:r>
      <w:r>
        <w:rPr>
          <w:szCs w:val="20"/>
        </w:rPr>
        <w:t>.</w:t>
      </w:r>
    </w:p>
    <w:p w14:paraId="407F451F" w14:textId="4770A02B" w:rsidR="00416D56" w:rsidRDefault="00EA5A5B" w:rsidP="00416D56">
      <w:pPr>
        <w:pStyle w:val="Heading1"/>
      </w:pPr>
      <w:r>
        <w:t>Discussion</w:t>
      </w:r>
    </w:p>
    <w:p w14:paraId="4D1FD149" w14:textId="08ECFCCB" w:rsidR="008E1227" w:rsidRDefault="008E1227" w:rsidP="009970CC">
      <w:pPr>
        <w:jc w:val="both"/>
        <w:rPr>
          <w:bCs/>
          <w:iCs/>
        </w:rPr>
      </w:pPr>
      <w:r>
        <w:rPr>
          <w:bCs/>
          <w:iCs/>
        </w:rPr>
        <w:t xml:space="preserve">Many IoT devices are deployed in remote areas with the lack of cellular coverage. </w:t>
      </w:r>
      <w:r w:rsidR="000E6165">
        <w:rPr>
          <w:bCs/>
          <w:iCs/>
        </w:rPr>
        <w:t>Usually</w:t>
      </w:r>
      <w:r w:rsidR="00E07893">
        <w:rPr>
          <w:bCs/>
          <w:iCs/>
        </w:rPr>
        <w:t>,</w:t>
      </w:r>
      <w:r w:rsidR="000E6165">
        <w:rPr>
          <w:bCs/>
          <w:iCs/>
        </w:rPr>
        <w:t xml:space="preserve"> </w:t>
      </w:r>
      <w:r>
        <w:rPr>
          <w:bCs/>
          <w:iCs/>
        </w:rPr>
        <w:t xml:space="preserve">these IoT devices are deployed with NB-IoT or </w:t>
      </w:r>
      <w:proofErr w:type="spellStart"/>
      <w:r>
        <w:rPr>
          <w:bCs/>
          <w:iCs/>
        </w:rPr>
        <w:t>eMTC</w:t>
      </w:r>
      <w:proofErr w:type="spellEnd"/>
      <w:r>
        <w:rPr>
          <w:bCs/>
          <w:iCs/>
        </w:rPr>
        <w:t xml:space="preserve"> te</w:t>
      </w:r>
      <w:r w:rsidR="000E6165">
        <w:rPr>
          <w:bCs/>
          <w:iCs/>
        </w:rPr>
        <w:t>chnologies. To facilitate the connectivity of these IoT devices, a cellular connection via satellite coverage is a good fit due to the large coverage of satellite. This motivates the study of enhancement on NB-IoT/</w:t>
      </w:r>
      <w:proofErr w:type="spellStart"/>
      <w:r w:rsidR="000E6165">
        <w:rPr>
          <w:bCs/>
          <w:iCs/>
        </w:rPr>
        <w:t>eMTC</w:t>
      </w:r>
      <w:proofErr w:type="spellEnd"/>
      <w:r w:rsidR="000E6165">
        <w:rPr>
          <w:bCs/>
          <w:iCs/>
        </w:rPr>
        <w:t xml:space="preserve"> technologies for their connection </w:t>
      </w:r>
      <w:r w:rsidR="00AC34F5">
        <w:rPr>
          <w:bCs/>
          <w:iCs/>
        </w:rPr>
        <w:t>over</w:t>
      </w:r>
      <w:r w:rsidR="000E6165">
        <w:rPr>
          <w:bCs/>
          <w:iCs/>
        </w:rPr>
        <w:t xml:space="preserve"> satellite. </w:t>
      </w:r>
    </w:p>
    <w:p w14:paraId="5B33B2F5" w14:textId="26A8387D" w:rsidR="000E6165" w:rsidRDefault="000E6165" w:rsidP="009970CC">
      <w:pPr>
        <w:jc w:val="both"/>
        <w:rPr>
          <w:bCs/>
          <w:iCs/>
        </w:rPr>
      </w:pPr>
    </w:p>
    <w:p w14:paraId="6BD951B1" w14:textId="6A7B3B7A" w:rsidR="000F4664" w:rsidRDefault="000E6165" w:rsidP="009970CC">
      <w:pPr>
        <w:jc w:val="both"/>
        <w:rPr>
          <w:bCs/>
          <w:iCs/>
        </w:rPr>
      </w:pPr>
      <w:r>
        <w:rPr>
          <w:bCs/>
          <w:iCs/>
        </w:rPr>
        <w:t xml:space="preserve">Some potential areas for enhancement are listed in </w:t>
      </w:r>
      <w:r w:rsidR="00E07893">
        <w:rPr>
          <w:bCs/>
          <w:iCs/>
        </w:rPr>
        <w:t>study item description</w:t>
      </w:r>
      <w:r>
        <w:rPr>
          <w:bCs/>
          <w:iCs/>
        </w:rPr>
        <w:t xml:space="preserve">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_Ref46861923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[1]</w:t>
      </w:r>
      <w:r>
        <w:rPr>
          <w:bCs/>
          <w:iCs/>
        </w:rPr>
        <w:fldChar w:fldCharType="end"/>
      </w:r>
      <w:r w:rsidR="000F4664">
        <w:rPr>
          <w:bCs/>
          <w:iCs/>
        </w:rPr>
        <w:t xml:space="preserve">, where the RAN1 related topics include </w:t>
      </w:r>
    </w:p>
    <w:p w14:paraId="68EEB300" w14:textId="17D84B4C" w:rsidR="000F4664" w:rsidRDefault="000F4664" w:rsidP="000F4664">
      <w:pPr>
        <w:pStyle w:val="ListParagraph"/>
        <w:numPr>
          <w:ilvl w:val="0"/>
          <w:numId w:val="27"/>
        </w:numPr>
        <w:jc w:val="both"/>
        <w:rPr>
          <w:rFonts w:ascii="Times New Roman" w:eastAsia="Malgun Gothic" w:hAnsi="Times New Roman"/>
          <w:bCs/>
          <w:iCs/>
          <w:sz w:val="24"/>
          <w:szCs w:val="24"/>
          <w:lang w:eastAsia="zh-CN"/>
        </w:rPr>
      </w:pPr>
      <w:r w:rsidRPr="000F4664">
        <w:rPr>
          <w:rFonts w:ascii="Times New Roman" w:eastAsia="Malgun Gothic" w:hAnsi="Times New Roman"/>
          <w:bCs/>
          <w:iCs/>
          <w:sz w:val="24"/>
          <w:szCs w:val="24"/>
          <w:lang w:eastAsia="zh-CN"/>
        </w:rPr>
        <w:t>Aspects related to random access procedure/signal</w:t>
      </w:r>
    </w:p>
    <w:p w14:paraId="5FCD642C" w14:textId="3E421BFB" w:rsidR="000F4664" w:rsidRDefault="000F4664" w:rsidP="000F4664">
      <w:pPr>
        <w:pStyle w:val="ListParagraph"/>
        <w:numPr>
          <w:ilvl w:val="0"/>
          <w:numId w:val="27"/>
        </w:numPr>
        <w:jc w:val="both"/>
        <w:rPr>
          <w:rFonts w:ascii="Times New Roman" w:eastAsia="Malgun Gothic" w:hAnsi="Times New Roman"/>
          <w:bCs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bCs/>
          <w:iCs/>
          <w:sz w:val="24"/>
          <w:szCs w:val="24"/>
          <w:lang w:eastAsia="zh-CN"/>
        </w:rPr>
        <w:t>Mechanisms for time/frequency adjustment including Timing Advance and UL frequency compensation indication</w:t>
      </w:r>
    </w:p>
    <w:p w14:paraId="093845BA" w14:textId="7FB08FB2" w:rsidR="000F4664" w:rsidRDefault="000F4664" w:rsidP="000F4664">
      <w:pPr>
        <w:pStyle w:val="ListParagraph"/>
        <w:numPr>
          <w:ilvl w:val="0"/>
          <w:numId w:val="27"/>
        </w:numPr>
        <w:jc w:val="both"/>
        <w:rPr>
          <w:rFonts w:ascii="Times New Roman" w:eastAsia="Malgun Gothic" w:hAnsi="Times New Roman"/>
          <w:bCs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bCs/>
          <w:iCs/>
          <w:sz w:val="24"/>
          <w:szCs w:val="24"/>
          <w:lang w:eastAsia="zh-CN"/>
        </w:rPr>
        <w:t>Timing offset related to scheduling and HARQ-ACK feedback</w:t>
      </w:r>
    </w:p>
    <w:p w14:paraId="3385A1F7" w14:textId="59C839E5" w:rsidR="000F4664" w:rsidRPr="000F4664" w:rsidRDefault="000F4664" w:rsidP="000F4664">
      <w:pPr>
        <w:pStyle w:val="ListParagraph"/>
        <w:numPr>
          <w:ilvl w:val="0"/>
          <w:numId w:val="27"/>
        </w:numPr>
        <w:jc w:val="both"/>
        <w:rPr>
          <w:rFonts w:ascii="Times New Roman" w:eastAsia="Malgun Gothic" w:hAnsi="Times New Roman"/>
          <w:bCs/>
          <w:iCs/>
          <w:sz w:val="24"/>
          <w:szCs w:val="24"/>
          <w:lang w:eastAsia="zh-CN"/>
        </w:rPr>
      </w:pPr>
      <w:r>
        <w:rPr>
          <w:rFonts w:ascii="Times New Roman" w:eastAsia="Malgun Gothic" w:hAnsi="Times New Roman"/>
          <w:bCs/>
          <w:iCs/>
          <w:sz w:val="24"/>
          <w:szCs w:val="24"/>
          <w:lang w:eastAsia="zh-CN"/>
        </w:rPr>
        <w:t>Aspects related to HARQ operation</w:t>
      </w:r>
    </w:p>
    <w:p w14:paraId="770B5EAF" w14:textId="7161DA8F" w:rsidR="008E1227" w:rsidRDefault="008E1227" w:rsidP="009970CC">
      <w:pPr>
        <w:jc w:val="both"/>
        <w:rPr>
          <w:bCs/>
          <w:iCs/>
        </w:rPr>
      </w:pPr>
    </w:p>
    <w:p w14:paraId="520A8E05" w14:textId="3898BC27" w:rsidR="000F4664" w:rsidRDefault="000F4664" w:rsidP="009970CC">
      <w:pPr>
        <w:jc w:val="both"/>
        <w:rPr>
          <w:bCs/>
          <w:iCs/>
        </w:rPr>
      </w:pPr>
      <w:r>
        <w:rPr>
          <w:bCs/>
          <w:iCs/>
        </w:rPr>
        <w:t xml:space="preserve">To limit the scope of this study item, it is </w:t>
      </w:r>
      <w:r w:rsidR="00E5521B">
        <w:rPr>
          <w:bCs/>
          <w:iCs/>
        </w:rPr>
        <w:t>a working assumption</w:t>
      </w:r>
      <w:r>
        <w:rPr>
          <w:bCs/>
          <w:iCs/>
        </w:rPr>
        <w:t xml:space="preserve">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_Ref46861923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[1]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</w:t>
      </w:r>
      <w:r w:rsidR="00E5521B">
        <w:rPr>
          <w:bCs/>
          <w:iCs/>
        </w:rPr>
        <w:t xml:space="preserve">UE has </w:t>
      </w:r>
      <w:r>
        <w:rPr>
          <w:bCs/>
          <w:iCs/>
        </w:rPr>
        <w:t xml:space="preserve">GNSS capability. With this assumption, </w:t>
      </w:r>
      <w:r w:rsidR="00E07893">
        <w:rPr>
          <w:bCs/>
          <w:iCs/>
        </w:rPr>
        <w:t xml:space="preserve">a </w:t>
      </w:r>
      <w:r>
        <w:rPr>
          <w:bCs/>
          <w:iCs/>
        </w:rPr>
        <w:t xml:space="preserve">UE is able to estimate and pre-compensate timing and frequency offset with sufficient accuracy for </w:t>
      </w:r>
      <w:r w:rsidR="00BE4946">
        <w:rPr>
          <w:bCs/>
          <w:iCs/>
        </w:rPr>
        <w:t>uplink</w:t>
      </w:r>
      <w:r>
        <w:rPr>
          <w:bCs/>
          <w:iCs/>
        </w:rPr>
        <w:t xml:space="preserve"> transmission. Hence, </w:t>
      </w:r>
      <w:r w:rsidR="00BE4946">
        <w:rPr>
          <w:bCs/>
          <w:iCs/>
        </w:rPr>
        <w:t xml:space="preserve">in our view, </w:t>
      </w:r>
      <w:r>
        <w:rPr>
          <w:bCs/>
          <w:iCs/>
        </w:rPr>
        <w:t>no new PRACH sequence or format beyond existing ones for NB-IoT/</w:t>
      </w:r>
      <w:proofErr w:type="spellStart"/>
      <w:r>
        <w:rPr>
          <w:bCs/>
          <w:iCs/>
        </w:rPr>
        <w:t>eMTC</w:t>
      </w:r>
      <w:proofErr w:type="spellEnd"/>
      <w:r>
        <w:rPr>
          <w:bCs/>
          <w:iCs/>
        </w:rPr>
        <w:t xml:space="preserve"> is needed. </w:t>
      </w:r>
    </w:p>
    <w:p w14:paraId="34FEA25F" w14:textId="482DFCDC" w:rsidR="000F4664" w:rsidRDefault="000F4664" w:rsidP="009970CC">
      <w:pPr>
        <w:jc w:val="both"/>
        <w:rPr>
          <w:bCs/>
          <w:iCs/>
        </w:rPr>
      </w:pPr>
    </w:p>
    <w:p w14:paraId="274A712B" w14:textId="6A5EC65C" w:rsidR="00183EA0" w:rsidRDefault="00183EA0" w:rsidP="009970CC">
      <w:pPr>
        <w:jc w:val="both"/>
        <w:rPr>
          <w:bCs/>
          <w:iCs/>
        </w:rPr>
      </w:pPr>
      <w:r>
        <w:rPr>
          <w:bCs/>
          <w:iCs/>
        </w:rPr>
        <w:t>The large propagation delay between a satellite and a UE (on the ground) results in a very large timing advance value if the UE is connected with the satellite. This requires enhancement on the existing timing adjustment schemes for NB-IoT/</w:t>
      </w:r>
      <w:proofErr w:type="spellStart"/>
      <w:r>
        <w:rPr>
          <w:bCs/>
          <w:iCs/>
        </w:rPr>
        <w:t>eMTC</w:t>
      </w:r>
      <w:proofErr w:type="spellEnd"/>
      <w:r>
        <w:rPr>
          <w:bCs/>
          <w:iCs/>
        </w:rPr>
        <w:t>.</w:t>
      </w:r>
      <w:r w:rsidR="00BE4946">
        <w:rPr>
          <w:bCs/>
          <w:iCs/>
        </w:rPr>
        <w:t xml:space="preserve"> </w:t>
      </w:r>
      <w:r>
        <w:rPr>
          <w:bCs/>
          <w:iCs/>
        </w:rPr>
        <w:t xml:space="preserve">Furthermore, with the fast movement of a non-geostationary satellite, the timing advance value for a UE keeps changing. The </w:t>
      </w:r>
      <w:r w:rsidR="00AC34F5">
        <w:rPr>
          <w:bCs/>
          <w:iCs/>
        </w:rPr>
        <w:t>continuous</w:t>
      </w:r>
      <w:r>
        <w:rPr>
          <w:bCs/>
          <w:iCs/>
        </w:rPr>
        <w:t xml:space="preserve"> maintenance of each UE’s timing advance value is another aspect to be enhanced.</w:t>
      </w:r>
    </w:p>
    <w:p w14:paraId="23A9CD6D" w14:textId="443AA54A" w:rsidR="00183EA0" w:rsidRDefault="00183EA0" w:rsidP="009970CC">
      <w:pPr>
        <w:jc w:val="both"/>
        <w:rPr>
          <w:bCs/>
          <w:iCs/>
        </w:rPr>
      </w:pPr>
    </w:p>
    <w:p w14:paraId="18E3E7CB" w14:textId="4233E24A" w:rsidR="00183EA0" w:rsidRDefault="00183EA0" w:rsidP="009970CC">
      <w:pPr>
        <w:jc w:val="both"/>
        <w:rPr>
          <w:bCs/>
          <w:iCs/>
        </w:rPr>
      </w:pPr>
      <w:r>
        <w:rPr>
          <w:bCs/>
          <w:iCs/>
        </w:rPr>
        <w:t>We think the above timing and frequency synchronization issues exist in NR over NTN as well.</w:t>
      </w:r>
      <w:r w:rsidR="00BE4946">
        <w:rPr>
          <w:bCs/>
          <w:iCs/>
        </w:rPr>
        <w:t xml:space="preserve"> While the solutions for these issues are being examined in the work item of NR over NTN, those solutions are likely to be leveraged for NB-IoT/</w:t>
      </w:r>
      <w:proofErr w:type="spellStart"/>
      <w:r w:rsidR="00BE4946">
        <w:rPr>
          <w:bCs/>
          <w:iCs/>
        </w:rPr>
        <w:t>eMTC</w:t>
      </w:r>
      <w:proofErr w:type="spellEnd"/>
      <w:r w:rsidR="00BE4946">
        <w:rPr>
          <w:bCs/>
          <w:iCs/>
        </w:rPr>
        <w:t xml:space="preserve"> over satellite. </w:t>
      </w:r>
    </w:p>
    <w:p w14:paraId="3931CA88" w14:textId="77777777" w:rsidR="00183EA0" w:rsidRDefault="00183EA0" w:rsidP="009970CC">
      <w:pPr>
        <w:jc w:val="both"/>
        <w:rPr>
          <w:bCs/>
          <w:iCs/>
        </w:rPr>
      </w:pPr>
    </w:p>
    <w:p w14:paraId="4DC39751" w14:textId="5BF0E407" w:rsidR="004561D8" w:rsidRDefault="00816270" w:rsidP="009970CC">
      <w:pPr>
        <w:jc w:val="both"/>
        <w:rPr>
          <w:bCs/>
          <w:iCs/>
        </w:rPr>
      </w:pPr>
      <w:r>
        <w:rPr>
          <w:bCs/>
          <w:iCs/>
        </w:rPr>
        <w:t xml:space="preserve">The network scheduling will be affected by the </w:t>
      </w:r>
      <w:r w:rsidR="00BE4946">
        <w:rPr>
          <w:bCs/>
          <w:iCs/>
        </w:rPr>
        <w:t>large propagation delay</w:t>
      </w:r>
      <w:r>
        <w:rPr>
          <w:bCs/>
          <w:iCs/>
        </w:rPr>
        <w:t xml:space="preserve"> in NTN. </w:t>
      </w:r>
      <w:r w:rsidR="00BE4946">
        <w:rPr>
          <w:bCs/>
          <w:iCs/>
        </w:rPr>
        <w:t xml:space="preserve">Although the scheduling </w:t>
      </w:r>
      <w:r>
        <w:rPr>
          <w:bCs/>
          <w:iCs/>
        </w:rPr>
        <w:t>mechanism</w:t>
      </w:r>
      <w:r w:rsidR="00BE4946">
        <w:rPr>
          <w:bCs/>
          <w:iCs/>
        </w:rPr>
        <w:t xml:space="preserve"> in NR is different from that in NB-IoT/</w:t>
      </w:r>
      <w:proofErr w:type="spellStart"/>
      <w:r w:rsidR="00BE4946">
        <w:rPr>
          <w:bCs/>
          <w:iCs/>
        </w:rPr>
        <w:t>eMTC</w:t>
      </w:r>
      <w:proofErr w:type="spellEnd"/>
      <w:r w:rsidR="00BE4946">
        <w:rPr>
          <w:bCs/>
          <w:iCs/>
        </w:rPr>
        <w:t xml:space="preserve">, </w:t>
      </w:r>
      <w:r>
        <w:rPr>
          <w:bCs/>
          <w:iCs/>
        </w:rPr>
        <w:t xml:space="preserve">we think </w:t>
      </w:r>
      <w:r w:rsidR="00BE4946">
        <w:rPr>
          <w:bCs/>
          <w:iCs/>
        </w:rPr>
        <w:t xml:space="preserve">the principle of </w:t>
      </w:r>
      <w:r>
        <w:rPr>
          <w:bCs/>
          <w:iCs/>
        </w:rPr>
        <w:t>introducing a timing offset for scheduling could be applied for both cases. Some details may be</w:t>
      </w:r>
      <w:r w:rsidR="00E07893">
        <w:rPr>
          <w:bCs/>
          <w:iCs/>
        </w:rPr>
        <w:t xml:space="preserve"> </w:t>
      </w:r>
      <w:r>
        <w:rPr>
          <w:bCs/>
          <w:iCs/>
        </w:rPr>
        <w:t>discussed in this study item.</w:t>
      </w:r>
    </w:p>
    <w:p w14:paraId="5AE70D86" w14:textId="6CFEA232" w:rsidR="00816270" w:rsidRDefault="00816270" w:rsidP="009970CC">
      <w:pPr>
        <w:jc w:val="both"/>
        <w:rPr>
          <w:bCs/>
          <w:iCs/>
        </w:rPr>
      </w:pPr>
    </w:p>
    <w:p w14:paraId="7FA1542B" w14:textId="419A4290" w:rsidR="00816270" w:rsidRDefault="00816270" w:rsidP="009970CC">
      <w:pPr>
        <w:jc w:val="both"/>
        <w:rPr>
          <w:bCs/>
          <w:iCs/>
        </w:rPr>
      </w:pPr>
      <w:r>
        <w:rPr>
          <w:bCs/>
          <w:iCs/>
        </w:rPr>
        <w:t>The HARQ operation will also be affected by the large propagation delay in NTN</w:t>
      </w:r>
      <w:r w:rsidR="00216414">
        <w:rPr>
          <w:bCs/>
          <w:iCs/>
        </w:rPr>
        <w:t>. In this aspect, we think at least some of the solutions designed in NR over NTN (e.g., disabling HARQ feedback) could be considered in NB-IoT/</w:t>
      </w:r>
      <w:proofErr w:type="spellStart"/>
      <w:r w:rsidR="00216414">
        <w:rPr>
          <w:bCs/>
          <w:iCs/>
        </w:rPr>
        <w:t>eMTC</w:t>
      </w:r>
      <w:proofErr w:type="spellEnd"/>
      <w:r w:rsidR="00216414">
        <w:rPr>
          <w:bCs/>
          <w:iCs/>
        </w:rPr>
        <w:t xml:space="preserve"> as well.</w:t>
      </w:r>
      <w:r w:rsidR="00E07893">
        <w:rPr>
          <w:bCs/>
          <w:iCs/>
        </w:rPr>
        <w:t xml:space="preserve"> Hence, we have the following proposal:</w:t>
      </w:r>
    </w:p>
    <w:p w14:paraId="4721763D" w14:textId="77777777" w:rsidR="004561D8" w:rsidRPr="00926602" w:rsidRDefault="004561D8" w:rsidP="009970CC">
      <w:pPr>
        <w:jc w:val="both"/>
        <w:rPr>
          <w:bCs/>
          <w:iCs/>
        </w:rPr>
      </w:pPr>
    </w:p>
    <w:p w14:paraId="71AFD85B" w14:textId="361FF2C8" w:rsidR="004E2EB8" w:rsidRDefault="009C0798" w:rsidP="008E1227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</w:t>
      </w:r>
      <w:r w:rsidR="008E1227">
        <w:rPr>
          <w:i/>
        </w:rPr>
        <w:t>Reuse as much as the schemes developed in NR over NTN for NB-IoT/</w:t>
      </w:r>
      <w:proofErr w:type="spellStart"/>
      <w:r w:rsidR="008E1227">
        <w:rPr>
          <w:i/>
        </w:rPr>
        <w:t>eMTC</w:t>
      </w:r>
      <w:proofErr w:type="spellEnd"/>
      <w:r w:rsidR="008E1227">
        <w:rPr>
          <w:i/>
        </w:rPr>
        <w:t xml:space="preserve"> over satellite.</w:t>
      </w:r>
      <w:r w:rsidR="004E2EB8">
        <w:rPr>
          <w:i/>
        </w:rPr>
        <w:t xml:space="preserve"> </w:t>
      </w:r>
    </w:p>
    <w:p w14:paraId="381DFE41" w14:textId="77777777" w:rsidR="004E2EB8" w:rsidRPr="000E7118" w:rsidRDefault="004E2EB8" w:rsidP="0013219E">
      <w:pPr>
        <w:jc w:val="both"/>
        <w:rPr>
          <w:rFonts w:eastAsia="SimSun"/>
          <w:bCs/>
          <w:iCs/>
          <w:sz w:val="22"/>
          <w:szCs w:val="22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58E0D631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>provided our views on</w:t>
      </w:r>
      <w:r w:rsidR="00ED1185">
        <w:rPr>
          <w:szCs w:val="20"/>
        </w:rPr>
        <w:t xml:space="preserve"> </w:t>
      </w:r>
      <w:r w:rsidR="008E1227">
        <w:rPr>
          <w:szCs w:val="20"/>
        </w:rPr>
        <w:t>the potential enhancement for</w:t>
      </w:r>
      <w:r w:rsidR="004561D8">
        <w:rPr>
          <w:szCs w:val="20"/>
        </w:rPr>
        <w:t xml:space="preserve"> NB-IoT/</w:t>
      </w:r>
      <w:proofErr w:type="spellStart"/>
      <w:r w:rsidR="004561D8">
        <w:rPr>
          <w:szCs w:val="20"/>
        </w:rPr>
        <w:t>eMTC</w:t>
      </w:r>
      <w:proofErr w:type="spellEnd"/>
      <w:r w:rsidR="004561D8">
        <w:rPr>
          <w:szCs w:val="20"/>
        </w:rPr>
        <w:t xml:space="preserve"> over satellite</w:t>
      </w:r>
      <w:r w:rsidR="009C0798">
        <w:rPr>
          <w:szCs w:val="20"/>
        </w:rPr>
        <w:t xml:space="preserve">. </w:t>
      </w:r>
      <w:r w:rsidR="009C0798">
        <w:t>Our proposal</w:t>
      </w:r>
      <w:r w:rsidR="008E1227">
        <w:t xml:space="preserve"> is</w:t>
      </w:r>
      <w:r w:rsidR="009C0798">
        <w:t xml:space="preserve"> as follows: </w:t>
      </w:r>
    </w:p>
    <w:p w14:paraId="448609F1" w14:textId="77777777" w:rsidR="008E1227" w:rsidRDefault="008E1227" w:rsidP="009C0798">
      <w:pPr>
        <w:jc w:val="both"/>
      </w:pPr>
    </w:p>
    <w:p w14:paraId="247837F8" w14:textId="7304FBFE" w:rsidR="007872EC" w:rsidRDefault="008E1227" w:rsidP="007872EC">
      <w:pPr>
        <w:jc w:val="both"/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Reuse as much as the schemes developed in NR over NTN for NB-IoT/</w:t>
      </w:r>
      <w:proofErr w:type="spellStart"/>
      <w:r>
        <w:rPr>
          <w:i/>
        </w:rPr>
        <w:t>eMTC</w:t>
      </w:r>
      <w:proofErr w:type="spellEnd"/>
      <w:r>
        <w:rPr>
          <w:i/>
        </w:rPr>
        <w:t xml:space="preserve"> over satellite.</w:t>
      </w:r>
    </w:p>
    <w:p w14:paraId="2144257A" w14:textId="77777777" w:rsidR="008E1227" w:rsidRPr="008E1227" w:rsidRDefault="008E1227" w:rsidP="007872EC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612EEDA3" w14:textId="1D3D2B35" w:rsidR="0099637F" w:rsidRDefault="0099637F" w:rsidP="0099637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46861923"/>
      <w:bookmarkStart w:id="1" w:name="_Ref46758011"/>
      <w:bookmarkStart w:id="2" w:name="_Ref30519541"/>
      <w:bookmarkStart w:id="3" w:name="_Ref46861948"/>
      <w:bookmarkStart w:id="4" w:name="_Ref30499280"/>
      <w:r>
        <w:t>RP-</w:t>
      </w:r>
      <w:r w:rsidR="005C0680">
        <w:t>193235</w:t>
      </w:r>
      <w:r>
        <w:t xml:space="preserve">, </w:t>
      </w:r>
      <w:r w:rsidR="005C0680">
        <w:t>New study WID on NB-IoT/</w:t>
      </w:r>
      <w:proofErr w:type="spellStart"/>
      <w:r w:rsidR="005C0680">
        <w:t>eMTC</w:t>
      </w:r>
      <w:proofErr w:type="spellEnd"/>
      <w:r w:rsidR="005C0680">
        <w:t xml:space="preserve"> support for NTN</w:t>
      </w:r>
      <w:r>
        <w:t xml:space="preserve">, </w:t>
      </w:r>
      <w:r w:rsidR="005C0680">
        <w:t>Dec</w:t>
      </w:r>
      <w:r>
        <w:t xml:space="preserve">. </w:t>
      </w:r>
      <w:r w:rsidR="005C0680">
        <w:t>2019</w:t>
      </w:r>
      <w:r>
        <w:t>.</w:t>
      </w:r>
      <w:bookmarkEnd w:id="0"/>
      <w:r>
        <w:t xml:space="preserve"> </w:t>
      </w:r>
    </w:p>
    <w:p w14:paraId="2CF06167" w14:textId="74F2A0F9" w:rsidR="0099637F" w:rsidRDefault="008E1227" w:rsidP="008E122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_Ref53646739"/>
      <w:bookmarkEnd w:id="1"/>
      <w:bookmarkEnd w:id="2"/>
      <w:bookmarkEnd w:id="3"/>
      <w:bookmarkEnd w:id="4"/>
      <w:r>
        <w:t>3GPP TR 38.821, Solution for NR to support non terrestrial networks (NTN), v. 16.2.0, Dec. 2019.</w:t>
      </w:r>
      <w:bookmarkEnd w:id="5"/>
    </w:p>
    <w:p w14:paraId="1B167861" w14:textId="264BDC5A" w:rsidR="00BE4946" w:rsidRDefault="00BE4946" w:rsidP="00BE494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RP-201256, Solutions for NR to support non-terrestrial networks (NTN), Jun. 2020.</w:t>
      </w:r>
    </w:p>
    <w:sectPr w:rsidR="00BE4946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49F91" w14:textId="77777777" w:rsidR="002D1CA1" w:rsidRDefault="002D1CA1">
      <w:r>
        <w:separator/>
      </w:r>
    </w:p>
  </w:endnote>
  <w:endnote w:type="continuationSeparator" w:id="0">
    <w:p w14:paraId="746954C0" w14:textId="77777777" w:rsidR="002D1CA1" w:rsidRDefault="002D1CA1">
      <w:r>
        <w:continuationSeparator/>
      </w:r>
    </w:p>
  </w:endnote>
  <w:endnote w:type="continuationNotice" w:id="1">
    <w:p w14:paraId="02E2A0ED" w14:textId="77777777" w:rsidR="002D1CA1" w:rsidRDefault="002D1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0F16D" w14:textId="77777777" w:rsidR="002D1CA1" w:rsidRDefault="002D1CA1">
      <w:r>
        <w:separator/>
      </w:r>
    </w:p>
  </w:footnote>
  <w:footnote w:type="continuationSeparator" w:id="0">
    <w:p w14:paraId="5B0CE9AB" w14:textId="77777777" w:rsidR="002D1CA1" w:rsidRDefault="002D1CA1">
      <w:r>
        <w:continuationSeparator/>
      </w:r>
    </w:p>
  </w:footnote>
  <w:footnote w:type="continuationNotice" w:id="1">
    <w:p w14:paraId="0C911ACA" w14:textId="77777777" w:rsidR="002D1CA1" w:rsidRDefault="002D1C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F644B"/>
    <w:multiLevelType w:val="hybridMultilevel"/>
    <w:tmpl w:val="9E188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18"/>
  </w:num>
  <w:num w:numId="10">
    <w:abstractNumId w:val="0"/>
  </w:num>
  <w:num w:numId="11">
    <w:abstractNumId w:val="23"/>
  </w:num>
  <w:num w:numId="12">
    <w:abstractNumId w:val="4"/>
  </w:num>
  <w:num w:numId="13">
    <w:abstractNumId w:val="20"/>
  </w:num>
  <w:num w:numId="14">
    <w:abstractNumId w:val="14"/>
  </w:num>
  <w:num w:numId="15">
    <w:abstractNumId w:val="24"/>
  </w:num>
  <w:num w:numId="16">
    <w:abstractNumId w:val="25"/>
  </w:num>
  <w:num w:numId="17">
    <w:abstractNumId w:val="8"/>
  </w:num>
  <w:num w:numId="18">
    <w:abstractNumId w:val="22"/>
  </w:num>
  <w:num w:numId="19">
    <w:abstractNumId w:val="11"/>
  </w:num>
  <w:num w:numId="20">
    <w:abstractNumId w:val="7"/>
  </w:num>
  <w:num w:numId="21">
    <w:abstractNumId w:val="19"/>
  </w:num>
  <w:num w:numId="22">
    <w:abstractNumId w:val="5"/>
  </w:num>
  <w:num w:numId="23">
    <w:abstractNumId w:val="17"/>
  </w:num>
  <w:num w:numId="24">
    <w:abstractNumId w:val="6"/>
  </w:num>
  <w:num w:numId="25">
    <w:abstractNumId w:val="17"/>
  </w:num>
  <w:num w:numId="26">
    <w:abstractNumId w:val="2"/>
  </w:num>
  <w:num w:numId="2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6C0"/>
    <w:rsid w:val="000444EF"/>
    <w:rsid w:val="00044942"/>
    <w:rsid w:val="00044BF7"/>
    <w:rsid w:val="00045523"/>
    <w:rsid w:val="00045EB6"/>
    <w:rsid w:val="000460EB"/>
    <w:rsid w:val="000468D3"/>
    <w:rsid w:val="00046F1C"/>
    <w:rsid w:val="00047568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0CEF"/>
    <w:rsid w:val="000819CF"/>
    <w:rsid w:val="00081AE6"/>
    <w:rsid w:val="00081DAA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B78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1BB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165"/>
    <w:rsid w:val="000E7118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664"/>
    <w:rsid w:val="000F4E73"/>
    <w:rsid w:val="000F5184"/>
    <w:rsid w:val="000F5E39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4FC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626"/>
    <w:rsid w:val="00130B6B"/>
    <w:rsid w:val="00130D0E"/>
    <w:rsid w:val="00131A54"/>
    <w:rsid w:val="00131E55"/>
    <w:rsid w:val="0013216D"/>
    <w:rsid w:val="0013219E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A0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B19"/>
    <w:rsid w:val="001C5118"/>
    <w:rsid w:val="001C5574"/>
    <w:rsid w:val="001C5726"/>
    <w:rsid w:val="001C6495"/>
    <w:rsid w:val="001C7019"/>
    <w:rsid w:val="001C7241"/>
    <w:rsid w:val="001C72C0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414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849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8C9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FD6"/>
    <w:rsid w:val="002D01C7"/>
    <w:rsid w:val="002D0363"/>
    <w:rsid w:val="002D071A"/>
    <w:rsid w:val="002D1321"/>
    <w:rsid w:val="002D1A24"/>
    <w:rsid w:val="002D1A8F"/>
    <w:rsid w:val="002D1CA1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09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6FF4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FA6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341E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4EF"/>
    <w:rsid w:val="004418DE"/>
    <w:rsid w:val="00441A92"/>
    <w:rsid w:val="004424BC"/>
    <w:rsid w:val="00442B6F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4A0"/>
    <w:rsid w:val="00454DB3"/>
    <w:rsid w:val="0045578A"/>
    <w:rsid w:val="004561D8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B7DF8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0F07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67FB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EB8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5CEC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018"/>
    <w:rsid w:val="0058798C"/>
    <w:rsid w:val="005900FA"/>
    <w:rsid w:val="005901CF"/>
    <w:rsid w:val="0059035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03E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0680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CA7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62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37C54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3F41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72C"/>
    <w:rsid w:val="006D1806"/>
    <w:rsid w:val="006D1F73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2E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6270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53A8"/>
    <w:rsid w:val="00865AA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227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5E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6602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37F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53C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0DD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C51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156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21D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4F5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95C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1FA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606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7B9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4946"/>
    <w:rsid w:val="00BE567D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540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A40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6881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031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3F00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4BF5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2D9"/>
    <w:rsid w:val="00D73427"/>
    <w:rsid w:val="00D73A16"/>
    <w:rsid w:val="00D74277"/>
    <w:rsid w:val="00D74AEC"/>
    <w:rsid w:val="00D75936"/>
    <w:rsid w:val="00D77029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0E04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20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07893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11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7E8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21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739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D8F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B1"/>
    <w:rsid w:val="00EA7A41"/>
    <w:rsid w:val="00EB0278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86D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C7D21"/>
    <w:rsid w:val="00ED0158"/>
    <w:rsid w:val="00ED01F1"/>
    <w:rsid w:val="00ED1006"/>
    <w:rsid w:val="00ED1185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ADF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FA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2DA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0FE5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497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44</cp:revision>
  <cp:lastPrinted>2020-01-28T01:17:00Z</cp:lastPrinted>
  <dcterms:created xsi:type="dcterms:W3CDTF">2019-09-23T20:25:00Z</dcterms:created>
  <dcterms:modified xsi:type="dcterms:W3CDTF">2020-10-19T20:25:00Z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